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86MS0079-01-2024-008468-85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05-1041/2615/2024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12.2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Саидова Шарабд</w:t>
      </w:r>
      <w:r>
        <w:rPr>
          <w:rFonts w:ascii="Times New Roman" w:eastAsia="Times New Roman" w:hAnsi="Times New Roman" w:cs="Times New Roman"/>
          <w:sz w:val="26"/>
          <w:szCs w:val="26"/>
        </w:rPr>
        <w:t>ина Аджиевича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6rplc-9"/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UserDefinedgrp-46rplc-9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31.05.2024 в 13 час. 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Саидов Ш.А. по адресу: Тюменский тракт,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д. 2, г. Сургут,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 транспортным средством – автомобилем марки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7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48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государственных регистрационных знаков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Саидов Ш.А.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 о месте и времени рассмотрения дела об административном правонарушении надлежащим образом, в суд не явился.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25.1 Кодекса Российской Федерации об административных правонарушениях, мировой судья полагает возможным рассмотреть дело в отсутствие лица, в отношении которого ведется производство по делу, по доказательствам, имеющимся в деле об административном правонарушении.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прихожу к следующим выводам.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ч. 2 ст. 12.2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их их видоизменить или скрыть,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движения, утвержденных Постановлением Правительства Российской Федерации от 23 октября 1993 года № 1090 (далее – Основные положения)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Саидовым Ш.А.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и его вина объективно подтверждаются совокупностью исследованных судом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доказательств: протоколом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правонарушении 86 ХМ № 602686 от 31.05.2024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31.05.2024 в 13 час. 35 мин. Саидов Ш.А. по адресу: Тюменский тракт, д. 2, г. Сургут, ХМАО-Югра, управлял транспортным средством – автомобилем марки </w:t>
      </w:r>
      <w:r>
        <w:rPr>
          <w:rStyle w:val="cat-UserDefinedgrp-47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48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без государственных регистрационных знаков, чем нарушил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Саидова Ш.А.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12 главе КоАП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водительским удостоверением </w:t>
      </w:r>
      <w:r>
        <w:rPr>
          <w:rFonts w:ascii="Times New Roman" w:eastAsia="Times New Roman" w:hAnsi="Times New Roman" w:cs="Times New Roman"/>
          <w:sz w:val="26"/>
          <w:szCs w:val="26"/>
        </w:rPr>
        <w:t>Саидова Ш.А.; карточкой учета транспортного средства –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7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48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принадлежащего Гасановой Н.С.;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полиции от 31.05.2024,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обстоятельства совершенного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</w:t>
      </w:r>
      <w:r>
        <w:rPr>
          <w:rFonts w:ascii="Times New Roman" w:eastAsia="Times New Roman" w:hAnsi="Times New Roman" w:cs="Times New Roman"/>
          <w:sz w:val="26"/>
          <w:szCs w:val="26"/>
        </w:rPr>
        <w:t>Саидова Ш.А.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правонарушения.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Саидова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>ируются по ч. 2 ст. 12.2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>правление транспортным средством без государственных регистрационных знаков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вида и размера наказания суд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Саидова Ш.А.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Саидову Ш.А.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29.10, 29.11 КоАП РФ,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Саидова Шарабдина Аджиевича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 2 ст. 12.2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подвергнуть административному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(пяти тысяч) рублей.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Штраф оплачивать на номер счета получателя платежа 03100643000000018700 в РКЦ Ханты-Мансийск; БИК 007162163; ОКТМО 71876000; ИНН 8601010390; КПП 860101001; КБК 18811601123010001140; кор/сч 40102810245370000007. Получатель: УФК по ХМАО-Югре (УМВД России по ХМАО-Югре);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18810486240320015327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49rplc-6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50rplc-66"/>
          <w:rFonts w:ascii="Times New Roman" w:eastAsia="Times New Roman" w:hAnsi="Times New Roman" w:cs="Times New Roman"/>
        </w:rPr>
        <w:t>...</w:t>
      </w: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480"/>
        <w:gridCol w:w="4720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28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6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9825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6rplc-9">
    <w:name w:val="cat-UserDefined grp-46 rplc-9"/>
    <w:basedOn w:val="DefaultParagraphFont"/>
  </w:style>
  <w:style w:type="character" w:customStyle="1" w:styleId="cat-UserDefinedgrp-47rplc-23">
    <w:name w:val="cat-UserDefined grp-47 rplc-23"/>
    <w:basedOn w:val="DefaultParagraphFont"/>
  </w:style>
  <w:style w:type="character" w:customStyle="1" w:styleId="cat-UserDefinedgrp-48rplc-25">
    <w:name w:val="cat-UserDefined grp-48 rplc-25"/>
    <w:basedOn w:val="DefaultParagraphFont"/>
  </w:style>
  <w:style w:type="character" w:customStyle="1" w:styleId="cat-UserDefinedgrp-47rplc-39">
    <w:name w:val="cat-UserDefined grp-47 rplc-39"/>
    <w:basedOn w:val="DefaultParagraphFont"/>
  </w:style>
  <w:style w:type="character" w:customStyle="1" w:styleId="cat-UserDefinedgrp-48rplc-41">
    <w:name w:val="cat-UserDefined grp-48 rplc-41"/>
    <w:basedOn w:val="DefaultParagraphFont"/>
  </w:style>
  <w:style w:type="character" w:customStyle="1" w:styleId="cat-UserDefinedgrp-47rplc-46">
    <w:name w:val="cat-UserDefined grp-47 rplc-46"/>
    <w:basedOn w:val="DefaultParagraphFont"/>
  </w:style>
  <w:style w:type="character" w:customStyle="1" w:styleId="cat-UserDefinedgrp-48rplc-48">
    <w:name w:val="cat-UserDefined grp-48 rplc-48"/>
    <w:basedOn w:val="DefaultParagraphFont"/>
  </w:style>
  <w:style w:type="character" w:customStyle="1" w:styleId="cat-UserDefinedgrp-49rplc-64">
    <w:name w:val="cat-UserDefined grp-49 rplc-64"/>
    <w:basedOn w:val="DefaultParagraphFont"/>
  </w:style>
  <w:style w:type="character" w:customStyle="1" w:styleId="cat-UserDefinedgrp-50rplc-66">
    <w:name w:val="cat-UserDefined grp-50 rplc-6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5DEB1-2A98-45AD-B9CE-612F6F77892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